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65" w:rsidRDefault="005A0165" w:rsidP="005A0165">
      <w:pPr>
        <w:spacing w:line="560" w:lineRule="exact"/>
        <w:rPr>
          <w:rFonts w:ascii="黑体" w:eastAsia="黑体" w:hAnsi="黑体" w:hint="eastAsia"/>
          <w:sz w:val="32"/>
          <w:szCs w:val="32"/>
        </w:rPr>
      </w:pPr>
      <w:r w:rsidRPr="00E922B6">
        <w:rPr>
          <w:rFonts w:ascii="黑体" w:eastAsia="黑体" w:hAnsi="黑体" w:hint="eastAsia"/>
          <w:sz w:val="32"/>
          <w:szCs w:val="32"/>
        </w:rPr>
        <w:t>附件</w:t>
      </w:r>
    </w:p>
    <w:p w:rsidR="005A0165" w:rsidRPr="00E922B6" w:rsidRDefault="005A0165" w:rsidP="005A0165">
      <w:pPr>
        <w:spacing w:line="560" w:lineRule="exact"/>
        <w:rPr>
          <w:rFonts w:ascii="黑体" w:eastAsia="黑体" w:hAnsi="黑体"/>
          <w:sz w:val="32"/>
          <w:szCs w:val="32"/>
        </w:rPr>
      </w:pPr>
    </w:p>
    <w:p w:rsidR="005A0165" w:rsidRDefault="005A0165" w:rsidP="005A0165">
      <w:pPr>
        <w:jc w:val="center"/>
        <w:rPr>
          <w:rFonts w:ascii="Times New Roman" w:eastAsia="黑体" w:hAnsi="Times New Roman"/>
          <w:bCs/>
          <w:sz w:val="44"/>
          <w:szCs w:val="44"/>
        </w:rPr>
      </w:pPr>
      <w:bookmarkStart w:id="0" w:name="_GoBack"/>
      <w:r>
        <w:rPr>
          <w:rFonts w:ascii="Times New Roman" w:eastAsia="黑体" w:hAnsi="Times New Roman"/>
          <w:bCs/>
          <w:sz w:val="44"/>
          <w:szCs w:val="44"/>
        </w:rPr>
        <w:t>2017</w:t>
      </w:r>
      <w:r>
        <w:rPr>
          <w:rFonts w:ascii="Times New Roman" w:eastAsia="黑体" w:hAnsi="Times New Roman" w:hint="eastAsia"/>
          <w:bCs/>
          <w:sz w:val="44"/>
          <w:szCs w:val="44"/>
        </w:rPr>
        <w:t>年度贵州省基础研究计划（专利分析及战略研究、软科学）项目申报指南</w:t>
      </w:r>
    </w:p>
    <w:p w:rsidR="005A0165" w:rsidRDefault="005A0165" w:rsidP="005A0165">
      <w:pPr>
        <w:jc w:val="center"/>
        <w:rPr>
          <w:rFonts w:ascii="黑体" w:eastAsia="黑体" w:hAnsi="黑体"/>
          <w:sz w:val="36"/>
          <w:szCs w:val="36"/>
        </w:rPr>
      </w:pPr>
      <w:r>
        <w:rPr>
          <w:rFonts w:ascii="Times New Roman" w:eastAsia="黑体" w:hAnsi="Times New Roman"/>
          <w:bCs/>
          <w:sz w:val="44"/>
          <w:szCs w:val="44"/>
        </w:rPr>
        <w:t>(</w:t>
      </w:r>
      <w:r>
        <w:rPr>
          <w:rFonts w:ascii="Times New Roman" w:eastAsia="黑体" w:hAnsi="Times New Roman" w:hint="eastAsia"/>
          <w:bCs/>
          <w:sz w:val="44"/>
          <w:szCs w:val="44"/>
        </w:rPr>
        <w:t>第二批</w:t>
      </w:r>
      <w:r>
        <w:rPr>
          <w:rFonts w:ascii="Times New Roman" w:eastAsia="黑体" w:hAnsi="Times New Roman"/>
          <w:bCs/>
          <w:sz w:val="44"/>
          <w:szCs w:val="44"/>
        </w:rPr>
        <w:t>)</w:t>
      </w:r>
    </w:p>
    <w:bookmarkEnd w:id="0"/>
    <w:p w:rsidR="005A0165" w:rsidRDefault="005A0165" w:rsidP="005A0165">
      <w:pPr>
        <w:adjustRightInd w:val="0"/>
        <w:snapToGrid w:val="0"/>
        <w:spacing w:line="360" w:lineRule="auto"/>
        <w:rPr>
          <w:rFonts w:ascii="仿宋" w:eastAsia="仿宋" w:hAnsi="仿宋"/>
          <w:sz w:val="32"/>
          <w:szCs w:val="32"/>
        </w:rPr>
      </w:pPr>
    </w:p>
    <w:p w:rsidR="005A0165" w:rsidRDefault="005A0165" w:rsidP="005A0165">
      <w:pPr>
        <w:autoSpaceDE w:val="0"/>
        <w:autoSpaceDN w:val="0"/>
        <w:adjustRightInd w:val="0"/>
        <w:snapToGrid w:val="0"/>
        <w:spacing w:beforeLines="50" w:before="156" w:afterLines="50" w:after="156" w:line="360" w:lineRule="auto"/>
        <w:ind w:firstLineChars="200" w:firstLine="640"/>
        <w:rPr>
          <w:rFonts w:ascii="Times New Roman" w:eastAsia="黑体" w:hAnsi="Times New Roman" w:cs="宋体"/>
          <w:kern w:val="0"/>
          <w:sz w:val="32"/>
          <w:szCs w:val="32"/>
          <w:lang w:val="zh-CN"/>
        </w:rPr>
      </w:pPr>
      <w:r>
        <w:rPr>
          <w:rFonts w:ascii="Times New Roman" w:eastAsia="黑体" w:hAnsi="Times New Roman" w:cs="宋体" w:hint="eastAsia"/>
          <w:kern w:val="0"/>
          <w:sz w:val="32"/>
          <w:szCs w:val="32"/>
          <w:lang w:val="zh-CN"/>
        </w:rPr>
        <w:t>一、支持范围</w:t>
      </w:r>
    </w:p>
    <w:p w:rsidR="005A0165" w:rsidRDefault="005A0165" w:rsidP="005A0165">
      <w:pPr>
        <w:autoSpaceDE w:val="0"/>
        <w:autoSpaceDN w:val="0"/>
        <w:adjustRightInd w:val="0"/>
        <w:snapToGrid w:val="0"/>
        <w:spacing w:line="360" w:lineRule="auto"/>
        <w:ind w:firstLineChars="148" w:firstLine="446"/>
        <w:rPr>
          <w:rFonts w:ascii="Times New Roman" w:eastAsia="楷体_GB2312" w:hAnsi="Times New Roman" w:cs="宋体"/>
          <w:b/>
          <w:kern w:val="0"/>
          <w:szCs w:val="30"/>
          <w:lang w:val="zh-CN"/>
        </w:rPr>
      </w:pPr>
      <w:r>
        <w:rPr>
          <w:rFonts w:ascii="Times New Roman" w:eastAsia="楷体_GB2312" w:hAnsi="Times New Roman" w:cs="宋体" w:hint="eastAsia"/>
          <w:b/>
          <w:kern w:val="0"/>
          <w:szCs w:val="30"/>
          <w:lang w:val="zh-CN"/>
        </w:rPr>
        <w:t>（一）专利分析及战略研究</w:t>
      </w:r>
    </w:p>
    <w:p w:rsidR="005A0165" w:rsidRDefault="005A0165" w:rsidP="005A0165">
      <w:pPr>
        <w:widowControl/>
        <w:shd w:val="clear" w:color="auto" w:fill="FFFFFF"/>
        <w:spacing w:line="360" w:lineRule="atLeast"/>
        <w:ind w:firstLine="601"/>
        <w:rPr>
          <w:rFonts w:ascii="仿宋" w:eastAsia="仿宋" w:hAnsi="仿宋" w:cs="Arial"/>
          <w:kern w:val="0"/>
          <w:szCs w:val="30"/>
        </w:rPr>
      </w:pPr>
      <w:r>
        <w:rPr>
          <w:rFonts w:ascii="仿宋" w:eastAsia="仿宋" w:hAnsi="仿宋" w:cs="Arial" w:hint="eastAsia"/>
          <w:b/>
          <w:kern w:val="0"/>
          <w:szCs w:val="30"/>
        </w:rPr>
        <w:t>1.大数据：</w:t>
      </w:r>
      <w:r>
        <w:rPr>
          <w:rFonts w:ascii="仿宋" w:eastAsia="仿宋" w:hAnsi="仿宋" w:cs="Arial" w:hint="eastAsia"/>
          <w:kern w:val="0"/>
          <w:szCs w:val="30"/>
        </w:rPr>
        <w:t>大数据核心业</w:t>
      </w:r>
      <w:proofErr w:type="gramStart"/>
      <w:r>
        <w:rPr>
          <w:rFonts w:ascii="仿宋" w:eastAsia="仿宋" w:hAnsi="仿宋" w:cs="Arial" w:hint="eastAsia"/>
          <w:kern w:val="0"/>
          <w:szCs w:val="30"/>
        </w:rPr>
        <w:t>态关键</w:t>
      </w:r>
      <w:proofErr w:type="gramEnd"/>
      <w:r>
        <w:rPr>
          <w:rFonts w:ascii="仿宋" w:eastAsia="仿宋" w:hAnsi="仿宋" w:cs="Arial" w:hint="eastAsia"/>
          <w:kern w:val="0"/>
          <w:szCs w:val="30"/>
        </w:rPr>
        <w:t>技术、大数据</w:t>
      </w:r>
      <w:proofErr w:type="gramStart"/>
      <w:r>
        <w:rPr>
          <w:rFonts w:ascii="仿宋" w:eastAsia="仿宋" w:hAnsi="仿宋" w:cs="Arial" w:hint="eastAsia"/>
          <w:kern w:val="0"/>
          <w:szCs w:val="30"/>
        </w:rPr>
        <w:t>关联业态关键</w:t>
      </w:r>
      <w:proofErr w:type="gramEnd"/>
      <w:r>
        <w:rPr>
          <w:rFonts w:ascii="仿宋" w:eastAsia="仿宋" w:hAnsi="仿宋" w:cs="Arial" w:hint="eastAsia"/>
          <w:kern w:val="0"/>
          <w:szCs w:val="30"/>
        </w:rPr>
        <w:t>技术、大数据衍生业</w:t>
      </w:r>
      <w:proofErr w:type="gramStart"/>
      <w:r>
        <w:rPr>
          <w:rFonts w:ascii="仿宋" w:eastAsia="仿宋" w:hAnsi="仿宋" w:cs="Arial" w:hint="eastAsia"/>
          <w:kern w:val="0"/>
          <w:szCs w:val="30"/>
        </w:rPr>
        <w:t>态关键</w:t>
      </w:r>
      <w:proofErr w:type="gramEnd"/>
      <w:r>
        <w:rPr>
          <w:rFonts w:ascii="仿宋" w:eastAsia="仿宋" w:hAnsi="仿宋" w:cs="Arial" w:hint="eastAsia"/>
          <w:kern w:val="0"/>
          <w:szCs w:val="30"/>
        </w:rPr>
        <w:t>技术、大数据服务供给技术等领域；</w:t>
      </w:r>
    </w:p>
    <w:p w:rsidR="005A0165" w:rsidRDefault="005A0165" w:rsidP="005A0165">
      <w:pPr>
        <w:widowControl/>
        <w:shd w:val="clear" w:color="auto" w:fill="FFFFFF"/>
        <w:spacing w:line="360" w:lineRule="atLeast"/>
        <w:ind w:firstLine="601"/>
        <w:rPr>
          <w:rFonts w:ascii="仿宋" w:eastAsia="仿宋" w:hAnsi="仿宋" w:cs="Arial"/>
          <w:kern w:val="0"/>
          <w:szCs w:val="30"/>
        </w:rPr>
      </w:pPr>
      <w:r>
        <w:rPr>
          <w:rFonts w:ascii="仿宋" w:eastAsia="仿宋" w:hAnsi="仿宋" w:cs="Arial" w:hint="eastAsia"/>
          <w:b/>
          <w:kern w:val="0"/>
          <w:szCs w:val="30"/>
        </w:rPr>
        <w:t>2.大健康：</w:t>
      </w:r>
      <w:r>
        <w:rPr>
          <w:rFonts w:ascii="仿宋" w:eastAsia="仿宋" w:hAnsi="仿宋" w:cs="Arial" w:hint="eastAsia"/>
          <w:kern w:val="0"/>
          <w:szCs w:val="30"/>
        </w:rPr>
        <w:t>专利失效或专利保护即将期满的化学药、中药民族药技术提升和深度开发、医疗器械及医用材料、药食两用资源的健康产品、互联网＋医疗关键技术等领域；</w:t>
      </w:r>
    </w:p>
    <w:p w:rsidR="005A0165" w:rsidRDefault="005A0165" w:rsidP="005A0165">
      <w:pPr>
        <w:widowControl/>
        <w:shd w:val="clear" w:color="auto" w:fill="FFFFFF"/>
        <w:spacing w:line="360" w:lineRule="atLeast"/>
        <w:ind w:firstLine="601"/>
        <w:rPr>
          <w:rFonts w:ascii="仿宋" w:eastAsia="仿宋" w:hAnsi="仿宋" w:cs="Arial"/>
          <w:kern w:val="0"/>
          <w:szCs w:val="30"/>
        </w:rPr>
      </w:pPr>
      <w:r>
        <w:rPr>
          <w:rFonts w:ascii="仿宋" w:eastAsia="仿宋" w:hAnsi="仿宋" w:cs="Arial" w:hint="eastAsia"/>
          <w:b/>
          <w:kern w:val="0"/>
          <w:szCs w:val="30"/>
        </w:rPr>
        <w:t>3.军民融合：</w:t>
      </w:r>
      <w:r>
        <w:rPr>
          <w:rFonts w:ascii="仿宋" w:eastAsia="仿宋" w:hAnsi="仿宋" w:cs="Arial" w:hint="eastAsia"/>
          <w:kern w:val="0"/>
          <w:szCs w:val="30"/>
        </w:rPr>
        <w:t>大飞机配套及通用航空产业、航天军转民技术和民用航天产业、电子信息产业、航空发动机国际转包及衍生产业、军民融合的其他产业领域；</w:t>
      </w:r>
    </w:p>
    <w:p w:rsidR="005A0165" w:rsidRDefault="005A0165" w:rsidP="005A0165">
      <w:pPr>
        <w:widowControl/>
        <w:shd w:val="clear" w:color="auto" w:fill="FFFFFF"/>
        <w:spacing w:line="360" w:lineRule="atLeast"/>
        <w:ind w:firstLine="601"/>
        <w:rPr>
          <w:rFonts w:ascii="仿宋" w:eastAsia="仿宋" w:hAnsi="仿宋" w:cs="Arial"/>
          <w:kern w:val="0"/>
          <w:szCs w:val="30"/>
        </w:rPr>
      </w:pPr>
      <w:r>
        <w:rPr>
          <w:rFonts w:ascii="仿宋" w:eastAsia="仿宋" w:hAnsi="仿宋" w:cs="Arial" w:hint="eastAsia"/>
          <w:b/>
          <w:kern w:val="0"/>
          <w:szCs w:val="30"/>
        </w:rPr>
        <w:t>4.出口产品：</w:t>
      </w:r>
      <w:r>
        <w:rPr>
          <w:rFonts w:ascii="仿宋" w:eastAsia="仿宋" w:hAnsi="仿宋" w:cs="Arial" w:hint="eastAsia"/>
          <w:kern w:val="0"/>
          <w:szCs w:val="30"/>
        </w:rPr>
        <w:t>贵州省重点出口产品及技术领域。</w:t>
      </w:r>
    </w:p>
    <w:p w:rsidR="005A0165" w:rsidRDefault="005A0165" w:rsidP="005A0165">
      <w:pPr>
        <w:autoSpaceDE w:val="0"/>
        <w:autoSpaceDN w:val="0"/>
        <w:adjustRightInd w:val="0"/>
        <w:snapToGrid w:val="0"/>
        <w:spacing w:line="360" w:lineRule="auto"/>
        <w:ind w:firstLineChars="148" w:firstLine="446"/>
        <w:rPr>
          <w:rFonts w:ascii="Times New Roman" w:eastAsia="楷体_GB2312" w:hAnsi="Times New Roman" w:cs="宋体"/>
          <w:b/>
          <w:kern w:val="0"/>
          <w:szCs w:val="30"/>
          <w:lang w:val="zh-CN"/>
        </w:rPr>
      </w:pPr>
      <w:r>
        <w:rPr>
          <w:rFonts w:ascii="Times New Roman" w:eastAsia="楷体_GB2312" w:hAnsi="Times New Roman" w:cs="宋体" w:hint="eastAsia"/>
          <w:b/>
          <w:kern w:val="0"/>
          <w:szCs w:val="30"/>
          <w:lang w:val="zh-CN"/>
        </w:rPr>
        <w:t>（二）软科学</w:t>
      </w:r>
    </w:p>
    <w:p w:rsidR="005A0165" w:rsidRDefault="005A0165" w:rsidP="005A0165">
      <w:pPr>
        <w:adjustRightInd w:val="0"/>
        <w:snapToGrid w:val="0"/>
        <w:spacing w:line="360" w:lineRule="auto"/>
        <w:ind w:firstLineChars="200" w:firstLine="602"/>
        <w:rPr>
          <w:rFonts w:ascii="仿宋" w:eastAsia="仿宋" w:hAnsi="仿宋" w:cs="Arial"/>
          <w:b/>
          <w:kern w:val="0"/>
          <w:szCs w:val="30"/>
        </w:rPr>
      </w:pPr>
      <w:r>
        <w:rPr>
          <w:rFonts w:ascii="仿宋" w:eastAsia="仿宋" w:hAnsi="仿宋" w:cs="Arial" w:hint="eastAsia"/>
          <w:b/>
          <w:kern w:val="0"/>
          <w:szCs w:val="30"/>
        </w:rPr>
        <w:t>1.大扶贫大数据战略行动：</w:t>
      </w:r>
      <w:r>
        <w:rPr>
          <w:rFonts w:ascii="仿宋" w:eastAsia="仿宋" w:hAnsi="仿宋" w:cs="Arial" w:hint="eastAsia"/>
          <w:kern w:val="0"/>
          <w:szCs w:val="30"/>
        </w:rPr>
        <w:t>科技支撑精准扶贫的路径与对策研究；农业技术服务“两制双返”机制研究</w:t>
      </w:r>
      <w:r>
        <w:rPr>
          <w:rFonts w:ascii="仿宋" w:eastAsia="仿宋" w:hAnsi="仿宋" w:cs="Arial" w:hint="eastAsia"/>
          <w:b/>
          <w:kern w:val="0"/>
          <w:szCs w:val="30"/>
        </w:rPr>
        <w:t>；</w:t>
      </w:r>
      <w:r>
        <w:rPr>
          <w:rFonts w:ascii="仿宋" w:eastAsia="仿宋" w:hAnsi="仿宋" w:cs="Arial" w:hint="eastAsia"/>
          <w:kern w:val="0"/>
          <w:szCs w:val="30"/>
        </w:rPr>
        <w:t>贵州大数据</w:t>
      </w:r>
      <w:proofErr w:type="gramStart"/>
      <w:r>
        <w:rPr>
          <w:rFonts w:ascii="仿宋" w:eastAsia="仿宋" w:hAnsi="仿宋" w:cs="Arial" w:hint="eastAsia"/>
          <w:kern w:val="0"/>
          <w:szCs w:val="30"/>
        </w:rPr>
        <w:t>践行</w:t>
      </w:r>
      <w:proofErr w:type="gramEnd"/>
      <w:r>
        <w:rPr>
          <w:rFonts w:ascii="仿宋" w:eastAsia="仿宋" w:hAnsi="仿宋" w:cs="Arial" w:hint="eastAsia"/>
          <w:kern w:val="0"/>
          <w:szCs w:val="30"/>
        </w:rPr>
        <w:t>“四个全面”战略布局研究;区块链、智能合约、人工智能等涉及大数据的法律法规体系研究。</w:t>
      </w:r>
    </w:p>
    <w:p w:rsidR="005A0165" w:rsidRDefault="005A0165" w:rsidP="005A0165">
      <w:pPr>
        <w:adjustRightInd w:val="0"/>
        <w:snapToGrid w:val="0"/>
        <w:spacing w:line="360" w:lineRule="auto"/>
        <w:ind w:firstLineChars="200" w:firstLine="602"/>
        <w:rPr>
          <w:rFonts w:ascii="仿宋" w:eastAsia="仿宋" w:hAnsi="仿宋" w:cs="Arial"/>
          <w:b/>
          <w:kern w:val="0"/>
          <w:szCs w:val="30"/>
        </w:rPr>
      </w:pPr>
      <w:r>
        <w:rPr>
          <w:rFonts w:ascii="仿宋" w:eastAsia="仿宋" w:hAnsi="仿宋" w:cs="Arial" w:hint="eastAsia"/>
          <w:b/>
          <w:kern w:val="0"/>
          <w:szCs w:val="30"/>
        </w:rPr>
        <w:lastRenderedPageBreak/>
        <w:t>2.园区、平台建设：</w:t>
      </w:r>
      <w:r>
        <w:rPr>
          <w:rFonts w:ascii="仿宋" w:eastAsia="仿宋" w:hAnsi="仿宋" w:cs="Arial" w:hint="eastAsia"/>
          <w:kern w:val="0"/>
          <w:szCs w:val="30"/>
        </w:rPr>
        <w:t>高新技术产业开发区产业聚集及创新服务体系建设研究</w:t>
      </w:r>
      <w:r>
        <w:rPr>
          <w:rFonts w:ascii="仿宋" w:eastAsia="仿宋" w:hAnsi="仿宋" w:cs="Arial" w:hint="eastAsia"/>
          <w:color w:val="000000"/>
          <w:kern w:val="0"/>
          <w:szCs w:val="30"/>
        </w:rPr>
        <w:t>；贵州内陆开放型经济试验区建设发展研究</w:t>
      </w:r>
      <w:r>
        <w:rPr>
          <w:rFonts w:ascii="仿宋" w:eastAsia="仿宋" w:hAnsi="仿宋" w:cs="Arial" w:hint="eastAsia"/>
          <w:b/>
          <w:color w:val="000000"/>
          <w:kern w:val="0"/>
          <w:szCs w:val="30"/>
        </w:rPr>
        <w:t>；</w:t>
      </w:r>
      <w:r>
        <w:rPr>
          <w:rFonts w:ascii="仿宋" w:eastAsia="仿宋" w:hAnsi="仿宋" w:cs="Arial" w:hint="eastAsia"/>
          <w:color w:val="000000"/>
          <w:kern w:val="0"/>
          <w:szCs w:val="30"/>
        </w:rPr>
        <w:t>贵州内陆开放型经济试验区、大数据综合试验区、生态文明试验区“三区联动”统筹推动研究；提高“1+8”开放创新平台招商引</w:t>
      </w:r>
      <w:r>
        <w:rPr>
          <w:rFonts w:ascii="仿宋" w:eastAsia="仿宋" w:hAnsi="仿宋" w:cs="Arial" w:hint="eastAsia"/>
          <w:kern w:val="0"/>
          <w:szCs w:val="30"/>
        </w:rPr>
        <w:t>资质量效益的路径研究。</w:t>
      </w:r>
    </w:p>
    <w:p w:rsidR="005A0165" w:rsidRDefault="005A0165" w:rsidP="005A0165">
      <w:pPr>
        <w:adjustRightInd w:val="0"/>
        <w:snapToGrid w:val="0"/>
        <w:spacing w:line="360" w:lineRule="auto"/>
        <w:ind w:firstLineChars="200" w:firstLine="602"/>
        <w:rPr>
          <w:rFonts w:ascii="仿宋" w:eastAsia="仿宋" w:hAnsi="仿宋" w:cs="Arial"/>
          <w:b/>
          <w:kern w:val="0"/>
          <w:szCs w:val="30"/>
        </w:rPr>
      </w:pPr>
      <w:r>
        <w:rPr>
          <w:rFonts w:ascii="仿宋" w:eastAsia="仿宋" w:hAnsi="仿宋" w:cs="Arial" w:hint="eastAsia"/>
          <w:b/>
          <w:kern w:val="0"/>
          <w:szCs w:val="30"/>
        </w:rPr>
        <w:t>3.产业经济：</w:t>
      </w:r>
      <w:r>
        <w:rPr>
          <w:rFonts w:ascii="仿宋" w:eastAsia="仿宋" w:hAnsi="仿宋" w:cs="Arial" w:hint="eastAsia"/>
          <w:kern w:val="0"/>
          <w:szCs w:val="30"/>
        </w:rPr>
        <w:t>贵州省高新技术产业发展战略研究；供给侧结构性改革背景下贵州转型发展途径研究</w:t>
      </w:r>
      <w:r>
        <w:rPr>
          <w:rFonts w:ascii="仿宋" w:eastAsia="仿宋" w:hAnsi="仿宋" w:cs="Arial" w:hint="eastAsia"/>
          <w:b/>
          <w:kern w:val="0"/>
          <w:szCs w:val="30"/>
        </w:rPr>
        <w:t>；</w:t>
      </w:r>
      <w:r>
        <w:rPr>
          <w:rFonts w:ascii="仿宋" w:eastAsia="仿宋" w:hAnsi="仿宋" w:cs="Arial" w:hint="eastAsia"/>
          <w:kern w:val="0"/>
          <w:szCs w:val="30"/>
        </w:rPr>
        <w:t>贵州生态产业发展及认可认证制度体系建设研究；地理标志对贵州省特色产业发展促进作用研究；贵州省科技型企业成长梯队发展环境及培育路径研究。</w:t>
      </w:r>
    </w:p>
    <w:p w:rsidR="005A0165" w:rsidRDefault="005A0165" w:rsidP="005A0165">
      <w:pPr>
        <w:adjustRightInd w:val="0"/>
        <w:snapToGrid w:val="0"/>
        <w:spacing w:line="360" w:lineRule="auto"/>
        <w:ind w:firstLineChars="200" w:firstLine="602"/>
        <w:rPr>
          <w:rFonts w:ascii="仿宋" w:eastAsia="仿宋" w:hAnsi="仿宋" w:cs="Arial"/>
          <w:b/>
          <w:kern w:val="0"/>
          <w:szCs w:val="30"/>
        </w:rPr>
      </w:pPr>
      <w:r>
        <w:rPr>
          <w:rFonts w:ascii="仿宋" w:eastAsia="仿宋" w:hAnsi="仿宋" w:cs="Arial" w:hint="eastAsia"/>
          <w:b/>
          <w:kern w:val="0"/>
          <w:szCs w:val="30"/>
        </w:rPr>
        <w:t>4.科技政策法规：</w:t>
      </w:r>
      <w:r>
        <w:rPr>
          <w:rFonts w:ascii="仿宋" w:eastAsia="仿宋" w:hAnsi="仿宋" w:cs="Arial" w:hint="eastAsia"/>
          <w:kern w:val="0"/>
          <w:szCs w:val="30"/>
        </w:rPr>
        <w:t>规范科技后补助经费使用，提高科技资金使用效率研究；贵州省重大决策科技咨询制度建设研究</w:t>
      </w:r>
      <w:r>
        <w:rPr>
          <w:rFonts w:ascii="仿宋" w:eastAsia="仿宋" w:hAnsi="仿宋" w:cs="Arial" w:hint="eastAsia"/>
          <w:b/>
          <w:kern w:val="0"/>
          <w:szCs w:val="30"/>
        </w:rPr>
        <w:t>；</w:t>
      </w:r>
      <w:r>
        <w:rPr>
          <w:rFonts w:ascii="仿宋" w:eastAsia="仿宋" w:hAnsi="仿宋" w:cs="Arial" w:hint="eastAsia"/>
          <w:kern w:val="0"/>
          <w:szCs w:val="30"/>
        </w:rPr>
        <w:t>新型科研机构体制机制及运行模式研究</w:t>
      </w:r>
      <w:r>
        <w:rPr>
          <w:rFonts w:ascii="仿宋" w:eastAsia="仿宋" w:hAnsi="仿宋" w:cs="Arial" w:hint="eastAsia"/>
          <w:b/>
          <w:kern w:val="0"/>
          <w:szCs w:val="30"/>
        </w:rPr>
        <w:t>；</w:t>
      </w:r>
      <w:r>
        <w:rPr>
          <w:rFonts w:ascii="仿宋" w:eastAsia="仿宋" w:hAnsi="仿宋" w:cs="Arial" w:hint="eastAsia"/>
          <w:kern w:val="0"/>
          <w:szCs w:val="30"/>
        </w:rPr>
        <w:t>贵州省“一带一路”国际科技合作研究；技术创新成果转移中专利价值分析方法及应用研究</w:t>
      </w:r>
      <w:r>
        <w:rPr>
          <w:rFonts w:ascii="仿宋" w:eastAsia="仿宋" w:hAnsi="仿宋" w:cs="Arial" w:hint="eastAsia"/>
          <w:b/>
          <w:kern w:val="0"/>
          <w:szCs w:val="30"/>
        </w:rPr>
        <w:t>；</w:t>
      </w:r>
      <w:r>
        <w:rPr>
          <w:rFonts w:ascii="仿宋" w:eastAsia="仿宋" w:hAnsi="仿宋" w:cs="Arial" w:hint="eastAsia"/>
          <w:kern w:val="0"/>
          <w:szCs w:val="30"/>
        </w:rPr>
        <w:t>贵州省“十二五”科学技术奖励分析研究</w:t>
      </w:r>
      <w:r>
        <w:rPr>
          <w:rFonts w:ascii="仿宋" w:eastAsia="仿宋" w:hAnsi="仿宋" w:cs="Arial" w:hint="eastAsia"/>
          <w:b/>
          <w:kern w:val="0"/>
          <w:szCs w:val="30"/>
        </w:rPr>
        <w:t>；</w:t>
      </w:r>
      <w:r>
        <w:rPr>
          <w:rFonts w:ascii="仿宋" w:eastAsia="仿宋" w:hAnsi="仿宋" w:cs="Arial" w:hint="eastAsia"/>
          <w:kern w:val="0"/>
          <w:szCs w:val="30"/>
        </w:rPr>
        <w:t>贵州省科技计划项目管理监督评估体系建设研究;贵州省科技创新政策体系实施评估对策研究;贵州省科技（知识产权）信用体系建设研究；贵州省科技计划管理决策、执行、监督体制机制研究。</w:t>
      </w:r>
    </w:p>
    <w:p w:rsidR="005A0165" w:rsidRDefault="005A0165" w:rsidP="005A0165">
      <w:pPr>
        <w:adjustRightInd w:val="0"/>
        <w:snapToGrid w:val="0"/>
        <w:spacing w:line="360" w:lineRule="auto"/>
        <w:ind w:firstLineChars="200" w:firstLine="602"/>
        <w:rPr>
          <w:rFonts w:ascii="仿宋" w:eastAsia="仿宋" w:hAnsi="仿宋" w:cs="Arial"/>
          <w:b/>
          <w:kern w:val="0"/>
          <w:szCs w:val="30"/>
        </w:rPr>
      </w:pPr>
      <w:r>
        <w:rPr>
          <w:rFonts w:ascii="仿宋" w:eastAsia="仿宋" w:hAnsi="仿宋" w:cs="Arial" w:hint="eastAsia"/>
          <w:b/>
          <w:kern w:val="0"/>
          <w:szCs w:val="30"/>
        </w:rPr>
        <w:t>重点支持：</w:t>
      </w:r>
    </w:p>
    <w:p w:rsidR="005A0165" w:rsidRDefault="005A0165" w:rsidP="005A0165">
      <w:pPr>
        <w:adjustRightInd w:val="0"/>
        <w:snapToGrid w:val="0"/>
        <w:spacing w:line="360" w:lineRule="auto"/>
        <w:ind w:firstLineChars="200" w:firstLine="602"/>
        <w:rPr>
          <w:rFonts w:ascii="仿宋" w:eastAsia="仿宋" w:hAnsi="仿宋" w:cs="Arial"/>
          <w:b/>
          <w:kern w:val="0"/>
          <w:szCs w:val="30"/>
        </w:rPr>
      </w:pPr>
      <w:r>
        <w:rPr>
          <w:rFonts w:ascii="仿宋" w:eastAsia="仿宋" w:hAnsi="仿宋" w:hint="eastAsia"/>
          <w:b/>
          <w:szCs w:val="30"/>
        </w:rPr>
        <w:t>5.</w:t>
      </w:r>
      <w:r>
        <w:rPr>
          <w:rFonts w:ascii="仿宋" w:eastAsia="仿宋" w:hAnsi="仿宋" w:cs="Arial" w:hint="eastAsia"/>
          <w:b/>
          <w:kern w:val="0"/>
          <w:szCs w:val="30"/>
        </w:rPr>
        <w:t>R&amp;D投入与GDP的量化关系研究：</w:t>
      </w:r>
      <w:r>
        <w:rPr>
          <w:rFonts w:ascii="仿宋" w:eastAsia="仿宋" w:hAnsi="仿宋" w:cs="Arial" w:hint="eastAsia"/>
          <w:kern w:val="0"/>
          <w:szCs w:val="30"/>
        </w:rPr>
        <w:t>研究创新活动中的R&amp;D(研究和开发)投入与经济增长的主要量度指标GDP增长之间因果关系，从R&amp;D投入计入固定资本角度，研究R&amp;D投入与GDP的直接量化关系，并用大数据方法建立基于企业和院所、高校的调度机制。</w:t>
      </w:r>
    </w:p>
    <w:p w:rsidR="005A0165" w:rsidRDefault="005A0165" w:rsidP="005A0165">
      <w:pPr>
        <w:adjustRightInd w:val="0"/>
        <w:snapToGrid w:val="0"/>
        <w:spacing w:line="360" w:lineRule="auto"/>
        <w:ind w:firstLineChars="200" w:firstLine="602"/>
        <w:rPr>
          <w:rFonts w:ascii="仿宋" w:eastAsia="仿宋" w:hAnsi="仿宋"/>
          <w:b/>
          <w:szCs w:val="30"/>
        </w:rPr>
      </w:pPr>
      <w:r>
        <w:rPr>
          <w:rFonts w:ascii="仿宋" w:eastAsia="仿宋" w:hAnsi="仿宋" w:hint="eastAsia"/>
          <w:b/>
          <w:szCs w:val="30"/>
        </w:rPr>
        <w:t>6.贵州省“十二五”科技重大专项投入产出评估：</w:t>
      </w:r>
      <w:r>
        <w:rPr>
          <w:rFonts w:ascii="仿宋" w:eastAsia="仿宋" w:hAnsi="仿宋" w:hint="eastAsia"/>
          <w:szCs w:val="30"/>
        </w:rPr>
        <w:t>研究“十</w:t>
      </w:r>
      <w:r>
        <w:rPr>
          <w:rFonts w:ascii="仿宋" w:eastAsia="仿宋" w:hAnsi="仿宋" w:hint="eastAsia"/>
          <w:szCs w:val="30"/>
        </w:rPr>
        <w:lastRenderedPageBreak/>
        <w:t>二五”科技重大专项投入产出情况，建立科技产出的指标体系，分析科技重大专项投入产出绩效，为优化政府科技投入的带动、引导、</w:t>
      </w:r>
      <w:proofErr w:type="gramStart"/>
      <w:r>
        <w:rPr>
          <w:rFonts w:ascii="仿宋" w:eastAsia="仿宋" w:hAnsi="仿宋" w:hint="eastAsia"/>
          <w:szCs w:val="30"/>
        </w:rPr>
        <w:t>增续和</w:t>
      </w:r>
      <w:proofErr w:type="gramEnd"/>
      <w:r>
        <w:rPr>
          <w:rFonts w:ascii="仿宋" w:eastAsia="仿宋" w:hAnsi="仿宋" w:hint="eastAsia"/>
          <w:szCs w:val="30"/>
        </w:rPr>
        <w:t>服务功能提供基础数据，进而发挥政府科技计划项目投入对于区域经济技术和社会发展的推动作用。</w:t>
      </w:r>
    </w:p>
    <w:p w:rsidR="005A0165" w:rsidRDefault="005A0165" w:rsidP="005A0165">
      <w:pPr>
        <w:autoSpaceDE w:val="0"/>
        <w:autoSpaceDN w:val="0"/>
        <w:adjustRightInd w:val="0"/>
        <w:snapToGrid w:val="0"/>
        <w:spacing w:beforeLines="50" w:before="156" w:afterLines="50" w:after="156" w:line="360" w:lineRule="auto"/>
        <w:ind w:firstLineChars="200" w:firstLine="640"/>
        <w:rPr>
          <w:rFonts w:ascii="Times New Roman" w:eastAsia="仿宋" w:hAnsi="Times New Roman" w:cs="宋体"/>
          <w:kern w:val="0"/>
          <w:szCs w:val="30"/>
          <w:lang w:val="zh-CN"/>
        </w:rPr>
      </w:pPr>
      <w:r>
        <w:rPr>
          <w:rFonts w:ascii="Times New Roman" w:eastAsia="黑体" w:hAnsi="Times New Roman" w:cs="宋体" w:hint="eastAsia"/>
          <w:kern w:val="0"/>
          <w:sz w:val="32"/>
          <w:szCs w:val="32"/>
          <w:lang w:val="zh-CN"/>
        </w:rPr>
        <w:t>二、申报要求</w:t>
      </w:r>
    </w:p>
    <w:p w:rsidR="005A0165" w:rsidRDefault="005A0165" w:rsidP="005A0165">
      <w:pPr>
        <w:autoSpaceDE w:val="0"/>
        <w:autoSpaceDN w:val="0"/>
        <w:adjustRightInd w:val="0"/>
        <w:snapToGrid w:val="0"/>
        <w:spacing w:line="360" w:lineRule="auto"/>
        <w:ind w:firstLineChars="200" w:firstLine="600"/>
        <w:rPr>
          <w:rFonts w:ascii="仿宋" w:eastAsia="仿宋" w:hAnsi="仿宋"/>
          <w:szCs w:val="30"/>
        </w:rPr>
      </w:pPr>
      <w:r>
        <w:rPr>
          <w:rFonts w:ascii="仿宋" w:eastAsia="仿宋" w:hAnsi="仿宋" w:hint="eastAsia"/>
          <w:szCs w:val="30"/>
        </w:rPr>
        <w:t>1.申报主体为在省内注册的具有独立法人资格的企业、科研院所、高校。</w:t>
      </w:r>
    </w:p>
    <w:p w:rsidR="005A0165" w:rsidRDefault="005A0165" w:rsidP="005A0165">
      <w:pPr>
        <w:autoSpaceDE w:val="0"/>
        <w:autoSpaceDN w:val="0"/>
        <w:adjustRightInd w:val="0"/>
        <w:snapToGrid w:val="0"/>
        <w:spacing w:line="360" w:lineRule="auto"/>
        <w:ind w:firstLineChars="200" w:firstLine="600"/>
        <w:rPr>
          <w:rFonts w:ascii="仿宋" w:eastAsia="仿宋" w:hAnsi="仿宋"/>
          <w:szCs w:val="30"/>
        </w:rPr>
      </w:pPr>
      <w:r>
        <w:rPr>
          <w:rFonts w:ascii="仿宋" w:eastAsia="仿宋" w:hAnsi="仿宋" w:hint="eastAsia"/>
          <w:szCs w:val="30"/>
        </w:rPr>
        <w:t>2.申报人承担在</w:t>
      </w:r>
      <w:proofErr w:type="gramStart"/>
      <w:r>
        <w:rPr>
          <w:rFonts w:ascii="仿宋" w:eastAsia="仿宋" w:hAnsi="仿宋" w:hint="eastAsia"/>
          <w:szCs w:val="30"/>
        </w:rPr>
        <w:t>研</w:t>
      </w:r>
      <w:proofErr w:type="gramEnd"/>
      <w:r>
        <w:rPr>
          <w:rFonts w:ascii="仿宋" w:eastAsia="仿宋" w:hAnsi="仿宋" w:hint="eastAsia"/>
          <w:szCs w:val="30"/>
        </w:rPr>
        <w:t>项目超过两项以上（含两项）的、或承担有到期未验收项目的、同一主持人同年申报科技厅两个及以上计划项目或同一项目申报科技厅两个及以上计划项目（不包括人才项目），不予受理。</w:t>
      </w:r>
    </w:p>
    <w:p w:rsidR="005A0165" w:rsidRDefault="005A0165" w:rsidP="005A0165">
      <w:pPr>
        <w:autoSpaceDE w:val="0"/>
        <w:autoSpaceDN w:val="0"/>
        <w:adjustRightInd w:val="0"/>
        <w:snapToGrid w:val="0"/>
        <w:spacing w:line="360" w:lineRule="auto"/>
        <w:ind w:firstLineChars="200" w:firstLine="600"/>
        <w:rPr>
          <w:rFonts w:ascii="仿宋" w:eastAsia="仿宋" w:hAnsi="仿宋"/>
          <w:szCs w:val="30"/>
        </w:rPr>
      </w:pPr>
      <w:r>
        <w:rPr>
          <w:rFonts w:ascii="仿宋" w:eastAsia="仿宋" w:hAnsi="仿宋" w:hint="eastAsia"/>
          <w:szCs w:val="30"/>
        </w:rPr>
        <w:t>3.支持方式：“专利战略分析”一般项目（实施期限1年内）给予10万元经费支持，涉及技术领域范围较广的重大项目（实施期限1年内）给予20万元经费支持。“软科学”重点项目经费每项30万元（实施期限1年内），一般项目经费每项10万元以内（实施期限1年）。</w:t>
      </w:r>
    </w:p>
    <w:p w:rsidR="005A0165" w:rsidRDefault="005A0165" w:rsidP="005A0165">
      <w:pPr>
        <w:adjustRightInd w:val="0"/>
        <w:snapToGrid w:val="0"/>
        <w:spacing w:line="360" w:lineRule="auto"/>
        <w:ind w:firstLineChars="200" w:firstLine="600"/>
      </w:pPr>
      <w:r>
        <w:rPr>
          <w:rFonts w:ascii="仿宋" w:eastAsia="仿宋" w:hAnsi="仿宋" w:hint="eastAsia"/>
          <w:szCs w:val="30"/>
        </w:rPr>
        <w:t>4.</w:t>
      </w:r>
      <w:r>
        <w:t>“</w:t>
      </w:r>
      <w:r>
        <w:rPr>
          <w:rFonts w:ascii="仿宋" w:eastAsia="仿宋" w:hAnsi="仿宋" w:hint="eastAsia"/>
          <w:szCs w:val="30"/>
        </w:rPr>
        <w:t>专利分析与战略研究”项目应当开展</w:t>
      </w:r>
      <w:r>
        <w:t>市场竞争动态情况的收集分析、专利竞争态势分析、专利风险预警分析、重点专利技术分析、专利技术布局设计和产业政策建议等内容。</w:t>
      </w:r>
    </w:p>
    <w:p w:rsidR="005A0165" w:rsidRDefault="005A0165" w:rsidP="005A0165">
      <w:pPr>
        <w:adjustRightInd w:val="0"/>
        <w:snapToGrid w:val="0"/>
        <w:spacing w:line="360" w:lineRule="auto"/>
        <w:ind w:firstLineChars="200" w:firstLine="600"/>
        <w:rPr>
          <w:rFonts w:ascii="仿宋" w:eastAsia="仿宋" w:hAnsi="仿宋"/>
          <w:szCs w:val="30"/>
        </w:rPr>
      </w:pPr>
      <w:r>
        <w:rPr>
          <w:rFonts w:ascii="仿宋" w:eastAsia="仿宋" w:hAnsi="仿宋" w:hint="eastAsia"/>
          <w:szCs w:val="30"/>
        </w:rPr>
        <w:t>5.“软科学”重点项目的研究内容必须涵盖指南提出的所有研究内容。</w:t>
      </w:r>
    </w:p>
    <w:p w:rsidR="005A0165" w:rsidRDefault="005A0165" w:rsidP="005A0165">
      <w:pPr>
        <w:autoSpaceDE w:val="0"/>
        <w:autoSpaceDN w:val="0"/>
        <w:adjustRightInd w:val="0"/>
        <w:snapToGrid w:val="0"/>
        <w:spacing w:line="360" w:lineRule="auto"/>
        <w:ind w:firstLineChars="200" w:firstLine="600"/>
        <w:rPr>
          <w:rFonts w:ascii="仿宋" w:eastAsia="仿宋" w:hAnsi="仿宋"/>
          <w:szCs w:val="30"/>
        </w:rPr>
      </w:pPr>
      <w:r>
        <w:rPr>
          <w:rFonts w:ascii="仿宋" w:eastAsia="仿宋" w:hAnsi="仿宋" w:hint="eastAsia"/>
          <w:szCs w:val="30"/>
        </w:rPr>
        <w:t>6.其他要求遵照相关管理办法执行。</w:t>
      </w:r>
    </w:p>
    <w:p w:rsidR="005A0165" w:rsidRDefault="005A0165" w:rsidP="005A0165">
      <w:pPr>
        <w:autoSpaceDE w:val="0"/>
        <w:autoSpaceDN w:val="0"/>
        <w:adjustRightInd w:val="0"/>
        <w:snapToGrid w:val="0"/>
        <w:spacing w:beforeLines="50" w:before="156" w:afterLines="50" w:after="156" w:line="360" w:lineRule="auto"/>
        <w:ind w:firstLineChars="200" w:firstLine="640"/>
        <w:rPr>
          <w:rFonts w:ascii="Times New Roman" w:eastAsia="黑体" w:hAnsi="Times New Roman" w:cs="宋体" w:hint="eastAsia"/>
          <w:kern w:val="0"/>
          <w:sz w:val="32"/>
          <w:szCs w:val="32"/>
          <w:lang w:val="zh-CN"/>
        </w:rPr>
      </w:pPr>
    </w:p>
    <w:p w:rsidR="005A0165" w:rsidRDefault="005A0165" w:rsidP="005A0165">
      <w:pPr>
        <w:autoSpaceDE w:val="0"/>
        <w:autoSpaceDN w:val="0"/>
        <w:adjustRightInd w:val="0"/>
        <w:snapToGrid w:val="0"/>
        <w:spacing w:beforeLines="50" w:before="156" w:afterLines="50" w:after="156" w:line="360" w:lineRule="auto"/>
        <w:ind w:firstLineChars="200" w:firstLine="640"/>
        <w:rPr>
          <w:rFonts w:ascii="Times New Roman" w:eastAsia="黑体" w:hAnsi="Times New Roman" w:cs="宋体"/>
          <w:kern w:val="0"/>
          <w:sz w:val="32"/>
          <w:szCs w:val="32"/>
          <w:lang w:val="zh-CN"/>
        </w:rPr>
      </w:pPr>
      <w:r>
        <w:rPr>
          <w:rFonts w:ascii="Times New Roman" w:eastAsia="黑体" w:hAnsi="Times New Roman" w:cs="宋体" w:hint="eastAsia"/>
          <w:kern w:val="0"/>
          <w:sz w:val="32"/>
          <w:szCs w:val="32"/>
          <w:lang w:val="zh-CN"/>
        </w:rPr>
        <w:lastRenderedPageBreak/>
        <w:t>三、申报流程</w:t>
      </w:r>
    </w:p>
    <w:p w:rsidR="005A0165" w:rsidRDefault="005A0165" w:rsidP="005A0165">
      <w:pPr>
        <w:spacing w:line="560" w:lineRule="exact"/>
        <w:ind w:firstLineChars="200" w:firstLine="600"/>
        <w:rPr>
          <w:rFonts w:ascii="Times New Roman" w:eastAsia="仿宋" w:hAnsi="Times New Roman"/>
          <w:szCs w:val="30"/>
        </w:rPr>
      </w:pPr>
      <w:r>
        <w:rPr>
          <w:rFonts w:ascii="仿宋" w:eastAsia="仿宋" w:hAnsi="仿宋" w:cs="宋体" w:hint="eastAsia"/>
          <w:kern w:val="0"/>
          <w:szCs w:val="30"/>
          <w:lang w:val="zh-CN"/>
        </w:rPr>
        <w:t>1.网上填写申请书。在5月3日至27日之间登陆贵州省科技计划业务管理信息系统（http://xmgl.gzst.gov.cn），进行网上申报并打印带科技厅水印的书面申请书，</w:t>
      </w:r>
      <w:r>
        <w:rPr>
          <w:rFonts w:ascii="Times New Roman" w:eastAsia="仿宋" w:hAnsi="Times New Roman" w:cs="宋体" w:hint="eastAsia"/>
          <w:kern w:val="0"/>
          <w:szCs w:val="30"/>
          <w:lang w:val="zh-CN"/>
        </w:rPr>
        <w:t>申请表格请见链接</w:t>
      </w:r>
      <w:r>
        <w:rPr>
          <w:rFonts w:ascii="Times New Roman" w:eastAsia="仿宋" w:hAnsi="Times New Roman" w:cs="宋体"/>
          <w:kern w:val="0"/>
          <w:szCs w:val="30"/>
          <w:lang w:val="zh-CN"/>
        </w:rPr>
        <w:t>http://kjt.gzst.gov.cn/index.php?show-index-cid-22-id-20.html</w:t>
      </w:r>
      <w:r>
        <w:rPr>
          <w:rFonts w:ascii="Times New Roman" w:eastAsia="仿宋" w:hAnsi="Times New Roman" w:hint="eastAsia"/>
          <w:szCs w:val="30"/>
        </w:rPr>
        <w:t>。</w:t>
      </w:r>
    </w:p>
    <w:p w:rsidR="005A0165" w:rsidRDefault="005A0165" w:rsidP="005A0165">
      <w:pPr>
        <w:autoSpaceDE w:val="0"/>
        <w:autoSpaceDN w:val="0"/>
        <w:adjustRightInd w:val="0"/>
        <w:snapToGrid w:val="0"/>
        <w:spacing w:line="360" w:lineRule="auto"/>
        <w:ind w:firstLineChars="200" w:firstLine="600"/>
        <w:rPr>
          <w:rFonts w:ascii="仿宋" w:eastAsia="仿宋" w:hAnsi="仿宋" w:cs="宋体"/>
          <w:kern w:val="0"/>
          <w:szCs w:val="30"/>
          <w:lang w:val="zh-CN"/>
        </w:rPr>
      </w:pPr>
      <w:r>
        <w:rPr>
          <w:rFonts w:ascii="仿宋" w:eastAsia="仿宋" w:hAnsi="仿宋" w:cs="宋体" w:hint="eastAsia"/>
          <w:kern w:val="0"/>
          <w:szCs w:val="30"/>
          <w:lang w:val="zh-CN"/>
        </w:rPr>
        <w:t>2.书面申请书需一式三份（A4纸双面打印、纸质封面，平装），由申请人撰写并在申请书上签字，对申请材料的真实性、合法性负责。合作者也需本人签字和单位（合作单位）盖章。</w:t>
      </w:r>
    </w:p>
    <w:p w:rsidR="005A0165" w:rsidRDefault="005A0165" w:rsidP="005A0165">
      <w:pPr>
        <w:autoSpaceDE w:val="0"/>
        <w:autoSpaceDN w:val="0"/>
        <w:adjustRightInd w:val="0"/>
        <w:snapToGrid w:val="0"/>
        <w:spacing w:line="360" w:lineRule="auto"/>
        <w:ind w:firstLineChars="200" w:firstLine="600"/>
        <w:rPr>
          <w:rFonts w:ascii="仿宋" w:eastAsia="仿宋" w:hAnsi="仿宋" w:cs="宋体"/>
          <w:kern w:val="0"/>
          <w:szCs w:val="30"/>
          <w:lang w:val="zh-CN"/>
        </w:rPr>
      </w:pPr>
      <w:r>
        <w:rPr>
          <w:rFonts w:ascii="仿宋" w:eastAsia="仿宋" w:hAnsi="仿宋" w:cs="宋体" w:hint="eastAsia"/>
          <w:kern w:val="0"/>
          <w:szCs w:val="30"/>
          <w:lang w:val="zh-CN"/>
        </w:rPr>
        <w:t>3.书面申请书请于截止日期之前送或邮寄（以邮戳为准）贵州省科技信息中心材料受理室。联系人敖蛟莉、杨敬：0851-885869134，项目申报单位逾期报送不予受理。</w:t>
      </w:r>
    </w:p>
    <w:p w:rsidR="005A0165" w:rsidRDefault="005A0165" w:rsidP="005A0165">
      <w:pPr>
        <w:autoSpaceDE w:val="0"/>
        <w:autoSpaceDN w:val="0"/>
        <w:adjustRightInd w:val="0"/>
        <w:snapToGrid w:val="0"/>
        <w:spacing w:beforeLines="50" w:before="156" w:afterLines="50" w:after="156" w:line="360" w:lineRule="auto"/>
        <w:ind w:firstLineChars="200" w:firstLine="640"/>
        <w:rPr>
          <w:rFonts w:ascii="Times New Roman" w:eastAsia="黑体" w:hAnsi="Times New Roman" w:cs="宋体"/>
          <w:kern w:val="0"/>
          <w:sz w:val="32"/>
          <w:szCs w:val="32"/>
          <w:lang w:val="zh-CN"/>
        </w:rPr>
      </w:pPr>
      <w:r>
        <w:rPr>
          <w:rFonts w:ascii="Times New Roman" w:eastAsia="黑体" w:hAnsi="Times New Roman" w:cs="宋体" w:hint="eastAsia"/>
          <w:kern w:val="0"/>
          <w:sz w:val="32"/>
          <w:szCs w:val="32"/>
          <w:lang w:val="zh-CN"/>
        </w:rPr>
        <w:t>四、政策咨询</w:t>
      </w:r>
    </w:p>
    <w:p w:rsidR="005A0165" w:rsidRDefault="005A0165" w:rsidP="005A0165">
      <w:pPr>
        <w:autoSpaceDE w:val="0"/>
        <w:autoSpaceDN w:val="0"/>
        <w:adjustRightInd w:val="0"/>
        <w:snapToGrid w:val="0"/>
        <w:spacing w:line="360" w:lineRule="auto"/>
        <w:ind w:firstLineChars="200" w:firstLine="600"/>
        <w:rPr>
          <w:rFonts w:ascii="仿宋" w:eastAsia="仿宋" w:hAnsi="仿宋" w:cs="宋体"/>
          <w:kern w:val="0"/>
          <w:szCs w:val="30"/>
          <w:lang w:val="zh-CN"/>
        </w:rPr>
      </w:pPr>
      <w:r>
        <w:rPr>
          <w:rFonts w:ascii="仿宋" w:eastAsia="仿宋" w:hAnsi="仿宋" w:cs="宋体" w:hint="eastAsia"/>
          <w:kern w:val="0"/>
          <w:szCs w:val="30"/>
          <w:lang w:val="zh-CN"/>
        </w:rPr>
        <w:t>1.“专利分析及战略研究”项目请联系知识产权管理处张莹：0851-86867997。</w:t>
      </w:r>
    </w:p>
    <w:p w:rsidR="005A0165" w:rsidRPr="00912A15" w:rsidRDefault="005A0165" w:rsidP="005A0165">
      <w:pPr>
        <w:spacing w:line="560" w:lineRule="exact"/>
        <w:jc w:val="center"/>
        <w:rPr>
          <w:rFonts w:ascii="仿宋_GB2312"/>
          <w:sz w:val="32"/>
          <w:szCs w:val="32"/>
        </w:rPr>
      </w:pPr>
      <w:r>
        <w:rPr>
          <w:rFonts w:ascii="仿宋" w:eastAsia="仿宋" w:hAnsi="仿宋" w:cs="宋体" w:hint="eastAsia"/>
          <w:kern w:val="0"/>
          <w:szCs w:val="30"/>
          <w:lang w:val="zh-CN"/>
        </w:rPr>
        <w:t xml:space="preserve">    2.“软科学”项目请联系政策法规处陈婷婷：0851-85871836。</w:t>
      </w:r>
    </w:p>
    <w:p w:rsidR="0086522C" w:rsidRPr="005A0165" w:rsidRDefault="005A0165"/>
    <w:sectPr w:rsidR="0086522C" w:rsidRPr="005A0165" w:rsidSect="001D1449">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449" w:rsidRDefault="005A0165">
    <w:pPr>
      <w:pStyle w:val="a3"/>
      <w:jc w:val="center"/>
    </w:pPr>
    <w:r>
      <w:fldChar w:fldCharType="begin"/>
    </w:r>
    <w:r>
      <w:instrText>PAGE   \* MERGEFORMAT</w:instrText>
    </w:r>
    <w:r>
      <w:fldChar w:fldCharType="separate"/>
    </w:r>
    <w:r w:rsidRPr="005A0165">
      <w:rPr>
        <w:noProof/>
        <w:lang w:val="zh-CN"/>
      </w:rPr>
      <w:t>1</w:t>
    </w:r>
    <w:r>
      <w:rPr>
        <w:lang w:val="zh-CN"/>
      </w:rPr>
      <w:fldChar w:fldCharType="end"/>
    </w:r>
  </w:p>
  <w:p w:rsidR="001D1449" w:rsidRDefault="005A016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5"/>
    <w:rsid w:val="004D5B3C"/>
    <w:rsid w:val="005A0165"/>
    <w:rsid w:val="0094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65"/>
    <w:pPr>
      <w:widowControl w:val="0"/>
      <w:jc w:val="both"/>
    </w:pPr>
    <w:rPr>
      <w:rFonts w:ascii="Calibri" w:eastAsia="仿宋_GB2312" w:hAnsi="Calibri" w:cs="黑体"/>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A016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A0165"/>
    <w:rPr>
      <w:rFonts w:ascii="Calibri" w:eastAsia="仿宋_GB2312"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65"/>
    <w:pPr>
      <w:widowControl w:val="0"/>
      <w:jc w:val="both"/>
    </w:pPr>
    <w:rPr>
      <w:rFonts w:ascii="Calibri" w:eastAsia="仿宋_GB2312" w:hAnsi="Calibri" w:cs="黑体"/>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A016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5A0165"/>
    <w:rPr>
      <w:rFonts w:ascii="Calibri" w:eastAsia="仿宋_GB2312"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kjt20150825</dc:creator>
  <cp:lastModifiedBy>kjt20150825</cp:lastModifiedBy>
  <cp:revision>1</cp:revision>
  <dcterms:created xsi:type="dcterms:W3CDTF">2017-04-07T09:05:00Z</dcterms:created>
  <dcterms:modified xsi:type="dcterms:W3CDTF">2017-04-07T09:05:00Z</dcterms:modified>
</cp:coreProperties>
</file>